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5D" w:rsidRDefault="00480E5D" w:rsidP="00480E5D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6"/>
          <w:szCs w:val="26"/>
        </w:rPr>
      </w:pPr>
      <w:r>
        <w:rPr>
          <w:rFonts w:ascii="Calibri" w:hAnsi="Calibri" w:cs="Calibri"/>
          <w:color w:val="1A1A1A"/>
          <w:sz w:val="26"/>
          <w:szCs w:val="26"/>
        </w:rPr>
        <w:fldChar w:fldCharType="begin"/>
      </w:r>
      <w:r>
        <w:rPr>
          <w:rFonts w:ascii="Calibri" w:hAnsi="Calibri" w:cs="Calibri"/>
          <w:color w:val="1A1A1A"/>
          <w:sz w:val="26"/>
          <w:szCs w:val="26"/>
        </w:rPr>
        <w:instrText xml:space="preserve"> HYPERLINK "https://obrnadzor.gov.ru/wp-content/uploads/2022/12/pismo-rosobrnadzora-ot-22.11.2022-%E2%84%96-04-435.pdf" </w:instrText>
      </w:r>
      <w:r>
        <w:rPr>
          <w:rFonts w:ascii="Calibri" w:hAnsi="Calibri" w:cs="Calibri"/>
          <w:color w:val="1A1A1A"/>
          <w:sz w:val="26"/>
          <w:szCs w:val="26"/>
        </w:rPr>
        <w:fldChar w:fldCharType="separate"/>
      </w:r>
      <w:r>
        <w:rPr>
          <w:rStyle w:val="a4"/>
          <w:rFonts w:ascii="Calibri" w:hAnsi="Calibri" w:cs="Calibri"/>
          <w:color w:val="095590"/>
          <w:sz w:val="26"/>
          <w:szCs w:val="26"/>
        </w:rPr>
        <w:t xml:space="preserve">Письмо </w:t>
      </w:r>
      <w:proofErr w:type="spellStart"/>
      <w:r>
        <w:rPr>
          <w:rStyle w:val="a4"/>
          <w:rFonts w:ascii="Calibri" w:hAnsi="Calibri" w:cs="Calibri"/>
          <w:color w:val="095590"/>
          <w:sz w:val="26"/>
          <w:szCs w:val="26"/>
        </w:rPr>
        <w:t>Рособрнадзора</w:t>
      </w:r>
      <w:proofErr w:type="spellEnd"/>
      <w:r>
        <w:rPr>
          <w:rStyle w:val="a4"/>
          <w:rFonts w:ascii="Calibri" w:hAnsi="Calibri" w:cs="Calibri"/>
          <w:color w:val="095590"/>
          <w:sz w:val="26"/>
          <w:szCs w:val="26"/>
        </w:rPr>
        <w:t xml:space="preserve"> от 22.11.2022 № 04-435</w:t>
      </w:r>
      <w:r>
        <w:rPr>
          <w:rFonts w:ascii="Calibri" w:hAnsi="Calibri" w:cs="Calibri"/>
          <w:color w:val="1A1A1A"/>
          <w:sz w:val="26"/>
          <w:szCs w:val="26"/>
        </w:rPr>
        <w:fldChar w:fldCharType="end"/>
      </w:r>
    </w:p>
    <w:p w:rsidR="00480E5D" w:rsidRDefault="00480E5D" w:rsidP="00480E5D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6"/>
          <w:szCs w:val="26"/>
        </w:rPr>
      </w:pPr>
      <w:hyperlink r:id="rId4" w:history="1">
        <w:r>
          <w:rPr>
            <w:rStyle w:val="a4"/>
            <w:rFonts w:ascii="Calibri" w:hAnsi="Calibri" w:cs="Calibri"/>
            <w:color w:val="0C7BCE"/>
            <w:sz w:val="26"/>
            <w:szCs w:val="26"/>
          </w:rPr>
          <w:t>Рекомендации по организации и проведению итогового собеседования</w:t>
        </w:r>
        <w:r>
          <w:rPr>
            <w:rFonts w:ascii="Calibri" w:hAnsi="Calibri" w:cs="Calibri"/>
            <w:color w:val="0C7BCE"/>
            <w:sz w:val="26"/>
            <w:szCs w:val="26"/>
          </w:rPr>
          <w:br/>
        </w:r>
        <w:r>
          <w:rPr>
            <w:rStyle w:val="a4"/>
            <w:rFonts w:ascii="Calibri" w:hAnsi="Calibri" w:cs="Calibri"/>
            <w:color w:val="0C7BCE"/>
            <w:sz w:val="26"/>
            <w:szCs w:val="26"/>
          </w:rPr>
          <w:t> в 2023 году</w:t>
        </w:r>
      </w:hyperlink>
    </w:p>
    <w:p w:rsidR="00D01C8D" w:rsidRPr="00480E5D" w:rsidRDefault="00D01C8D" w:rsidP="00480E5D"/>
    <w:sectPr w:rsidR="00D01C8D" w:rsidRPr="00480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480E5D"/>
    <w:rsid w:val="00480E5D"/>
    <w:rsid w:val="00CA5464"/>
    <w:rsid w:val="00D01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0E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80E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E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80E5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80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80E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4651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18822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2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4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37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76132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24875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66904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68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1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49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307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86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98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1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10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2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rnadzor.gov.ru/wp-content/uploads/2022/12/rekomendaczii-po-organizaczii-i-provedeniyu-itogovogo-sobesedovaniya-v-2023-g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СОШ №2</dc:creator>
  <cp:keywords/>
  <dc:description/>
  <cp:lastModifiedBy>МКОУ СОШ №2</cp:lastModifiedBy>
  <cp:revision>2</cp:revision>
  <dcterms:created xsi:type="dcterms:W3CDTF">2023-01-15T15:33:00Z</dcterms:created>
  <dcterms:modified xsi:type="dcterms:W3CDTF">2023-01-15T15:47:00Z</dcterms:modified>
</cp:coreProperties>
</file>